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201" w:type="dxa"/>
        <w:jc w:val="center"/>
        <w:tblBorders>
          <w:top w:val="double" w:sz="4" w:space="0" w:color="782008"/>
          <w:left w:val="double" w:sz="4" w:space="0" w:color="782008"/>
          <w:bottom w:val="double" w:sz="4" w:space="0" w:color="782008"/>
          <w:right w:val="double" w:sz="4" w:space="0" w:color="782008"/>
          <w:insideH w:val="single" w:sz="6" w:space="0" w:color="782008"/>
          <w:insideV w:val="single" w:sz="6" w:space="0" w:color="782008"/>
        </w:tblBorders>
        <w:tblLook w:val="04A0" w:firstRow="1" w:lastRow="0" w:firstColumn="1" w:lastColumn="0" w:noHBand="0" w:noVBand="1"/>
      </w:tblPr>
      <w:tblGrid>
        <w:gridCol w:w="2547"/>
        <w:gridCol w:w="7654"/>
      </w:tblGrid>
      <w:tr w:rsidR="00607FEE" w:rsidRPr="00607FEE" w:rsidTr="00607FEE">
        <w:trPr>
          <w:trHeight w:val="422"/>
          <w:jc w:val="center"/>
        </w:trPr>
        <w:tc>
          <w:tcPr>
            <w:tcW w:w="10201" w:type="dxa"/>
            <w:gridSpan w:val="2"/>
            <w:shd w:val="clear" w:color="auto" w:fill="782008"/>
            <w:vAlign w:val="center"/>
          </w:tcPr>
          <w:p w:rsidR="00515698" w:rsidRPr="00607FEE" w:rsidRDefault="00607FEE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25. dubna 2019</w:t>
            </w:r>
          </w:p>
        </w:tc>
      </w:tr>
      <w:tr w:rsidR="00515698" w:rsidRPr="00515698" w:rsidTr="00AB571E">
        <w:trPr>
          <w:trHeight w:val="384"/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09:00 – 09:30</w:t>
            </w:r>
          </w:p>
        </w:tc>
        <w:tc>
          <w:tcPr>
            <w:tcW w:w="7654" w:type="dxa"/>
            <w:shd w:val="clear" w:color="auto" w:fill="FADCCD" w:themeFill="accent2" w:themeFillTint="33"/>
            <w:vAlign w:val="center"/>
          </w:tcPr>
          <w:p w:rsidR="00515698" w:rsidRPr="00515698" w:rsidRDefault="00515698" w:rsidP="00AB571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Registrace</w:t>
            </w:r>
          </w:p>
        </w:tc>
      </w:tr>
      <w:tr w:rsidR="00515698" w:rsidRPr="00515698" w:rsidTr="00AB571E">
        <w:trPr>
          <w:trHeight w:val="418"/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09:30</w:t>
            </w:r>
          </w:p>
        </w:tc>
        <w:tc>
          <w:tcPr>
            <w:tcW w:w="7654" w:type="dxa"/>
            <w:shd w:val="clear" w:color="auto" w:fill="FADCCD" w:themeFill="accent2" w:themeFillTint="33"/>
            <w:vAlign w:val="center"/>
          </w:tcPr>
          <w:p w:rsidR="00515698" w:rsidRPr="00515698" w:rsidRDefault="00515698" w:rsidP="00AB571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Zahájení konference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09:30 – 09:50</w:t>
            </w:r>
          </w:p>
        </w:tc>
        <w:tc>
          <w:tcPr>
            <w:tcW w:w="7654" w:type="dxa"/>
          </w:tcPr>
          <w:p w:rsidR="00515698" w:rsidRPr="00515698" w:rsidRDefault="00607FEE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Ing. Eduard </w:t>
            </w:r>
            <w:proofErr w:type="spellStart"/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Hanslík</w:t>
            </w:r>
            <w:proofErr w:type="spellEnd"/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, CSc.</w:t>
            </w: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br/>
            </w:r>
            <w:r w:rsidRPr="00607FEE">
              <w:rPr>
                <w:rFonts w:ascii="Georgia" w:hAnsi="Georgia"/>
                <w:bCs/>
                <w:color w:val="782008"/>
                <w:sz w:val="24"/>
                <w:szCs w:val="24"/>
              </w:rPr>
              <w:t>70 let radiologie v ČR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09:55 – 10:15</w:t>
            </w:r>
          </w:p>
        </w:tc>
        <w:tc>
          <w:tcPr>
            <w:tcW w:w="7654" w:type="dxa"/>
          </w:tcPr>
          <w:p w:rsidR="008C5B10" w:rsidRDefault="00607FEE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Ing. Eva Šindelková, </w:t>
            </w:r>
          </w:p>
          <w:p w:rsidR="00515698" w:rsidRPr="00515698" w:rsidRDefault="009226AF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SÚJB</w:t>
            </w:r>
            <w:r w:rsidR="00607FEE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br/>
            </w:r>
            <w:r w:rsidR="00607FEE" w:rsidRPr="00607FEE">
              <w:rPr>
                <w:rFonts w:ascii="Georgia" w:hAnsi="Georgia"/>
                <w:bCs/>
                <w:color w:val="782008"/>
                <w:sz w:val="24"/>
                <w:szCs w:val="24"/>
              </w:rPr>
              <w:t>Historie výskytu umělých radionuklidů v životním prostředí</w:t>
            </w:r>
          </w:p>
        </w:tc>
      </w:tr>
      <w:tr w:rsidR="00515698" w:rsidRPr="00515698" w:rsidTr="00AB571E">
        <w:trPr>
          <w:trHeight w:val="457"/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10:20 – 10:40</w:t>
            </w:r>
          </w:p>
        </w:tc>
        <w:tc>
          <w:tcPr>
            <w:tcW w:w="7654" w:type="dxa"/>
            <w:shd w:val="clear" w:color="auto" w:fill="FADCCD" w:themeFill="accent2" w:themeFillTint="33"/>
            <w:vAlign w:val="center"/>
          </w:tcPr>
          <w:p w:rsidR="00515698" w:rsidRPr="00515698" w:rsidRDefault="00515698" w:rsidP="00AB571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Přestávka na kávu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bookmarkStart w:id="0" w:name="_Hlk517440629"/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10:40 – 11:00</w:t>
            </w:r>
          </w:p>
        </w:tc>
        <w:tc>
          <w:tcPr>
            <w:tcW w:w="7654" w:type="dxa"/>
          </w:tcPr>
          <w:p w:rsidR="008C5B10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RNDr. Hana Bílková, </w:t>
            </w:r>
          </w:p>
          <w:p w:rsidR="00515698" w:rsidRPr="00515698" w:rsidRDefault="009226AF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SÚJB</w:t>
            </w:r>
            <w:r w:rsidR="005815C2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br/>
            </w:r>
            <w:r w:rsidR="005815C2" w:rsidRPr="005815C2">
              <w:rPr>
                <w:rFonts w:ascii="Georgia" w:hAnsi="Georgia"/>
                <w:bCs/>
                <w:color w:val="782008"/>
                <w:sz w:val="24"/>
                <w:szCs w:val="24"/>
              </w:rPr>
              <w:t>Národní program monitorování – nezávislé monitorování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11:05 – 11:25</w:t>
            </w:r>
          </w:p>
        </w:tc>
        <w:tc>
          <w:tcPr>
            <w:tcW w:w="7654" w:type="dxa"/>
          </w:tcPr>
          <w:p w:rsidR="008C5B10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Ing. Hana Procházková, </w:t>
            </w:r>
          </w:p>
          <w:p w:rsidR="00515698" w:rsidRPr="00515698" w:rsidRDefault="009226AF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SÚJB</w:t>
            </w:r>
            <w:r w:rsidR="005815C2"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br/>
            </w:r>
            <w:r w:rsidR="005815C2" w:rsidRPr="005815C2">
              <w:rPr>
                <w:rFonts w:ascii="Georgia" w:hAnsi="Georgia"/>
                <w:bCs/>
                <w:color w:val="782008"/>
                <w:sz w:val="24"/>
                <w:szCs w:val="24"/>
              </w:rPr>
              <w:t>Management radioaktivity v pitné vodě</w:t>
            </w:r>
          </w:p>
        </w:tc>
      </w:tr>
      <w:bookmarkEnd w:id="0"/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11:30 – 11:50</w:t>
            </w:r>
          </w:p>
        </w:tc>
        <w:tc>
          <w:tcPr>
            <w:tcW w:w="7654" w:type="dxa"/>
          </w:tcPr>
          <w:p w:rsidR="008C5B10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Mgr. Michal Fejgl, Ph.D., </w:t>
            </w:r>
          </w:p>
          <w:p w:rsidR="00515698" w:rsidRPr="00515698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 xml:space="preserve">SÚRO, </w:t>
            </w:r>
            <w:proofErr w:type="spellStart"/>
            <w:r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v.v.i</w:t>
            </w:r>
            <w:proofErr w:type="spellEnd"/>
            <w:r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.</w:t>
            </w: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br/>
            </w:r>
            <w:r w:rsidRPr="005815C2">
              <w:rPr>
                <w:rFonts w:ascii="Georgia" w:hAnsi="Georgia"/>
                <w:bCs/>
                <w:color w:val="782008"/>
                <w:sz w:val="24"/>
                <w:szCs w:val="24"/>
              </w:rPr>
              <w:t>Systémy pro on-line měření umělé radioaktivity v povrchových vodách za havárie jaderné elektrárny s dálkovým přenosem</w:t>
            </w:r>
            <w:r>
              <w:rPr>
                <w:rFonts w:ascii="Georgia" w:hAnsi="Georgia"/>
                <w:bCs/>
                <w:color w:val="782008"/>
                <w:sz w:val="24"/>
                <w:szCs w:val="24"/>
              </w:rPr>
              <w:t xml:space="preserve"> dat</w:t>
            </w:r>
          </w:p>
        </w:tc>
      </w:tr>
      <w:tr w:rsidR="00515698" w:rsidRPr="00515698" w:rsidTr="00AB571E">
        <w:trPr>
          <w:trHeight w:val="448"/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11:55 – 13:00</w:t>
            </w:r>
          </w:p>
        </w:tc>
        <w:tc>
          <w:tcPr>
            <w:tcW w:w="7654" w:type="dxa"/>
            <w:shd w:val="clear" w:color="auto" w:fill="FADCCD" w:themeFill="accent2" w:themeFillTint="33"/>
            <w:vAlign w:val="center"/>
          </w:tcPr>
          <w:p w:rsidR="00515698" w:rsidRPr="00515698" w:rsidRDefault="00515698" w:rsidP="00AB571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Oběd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bookmarkStart w:id="1" w:name="_Hlk516230732"/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13:00 – 13:20</w:t>
            </w:r>
          </w:p>
        </w:tc>
        <w:tc>
          <w:tcPr>
            <w:tcW w:w="7654" w:type="dxa"/>
          </w:tcPr>
          <w:p w:rsidR="008C5B10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Ing. Růžena Šináglová, </w:t>
            </w:r>
          </w:p>
          <w:p w:rsidR="00515698" w:rsidRPr="00515698" w:rsidRDefault="009226AF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SÚJB</w:t>
            </w:r>
            <w:r w:rsidR="005815C2"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br/>
            </w:r>
            <w:r w:rsidR="005815C2" w:rsidRPr="005815C2">
              <w:rPr>
                <w:rFonts w:ascii="Georgia" w:hAnsi="Georgia"/>
                <w:bCs/>
                <w:color w:val="782008"/>
                <w:sz w:val="24"/>
                <w:szCs w:val="24"/>
              </w:rPr>
              <w:t>Uvolňování radioaktivní látky ze zařízení na úpravu vlastností podzemní vody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13:25 – 13:45</w:t>
            </w:r>
          </w:p>
        </w:tc>
        <w:tc>
          <w:tcPr>
            <w:tcW w:w="7654" w:type="dxa"/>
          </w:tcPr>
          <w:p w:rsidR="008C5B10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Ing. Tomáš Bouda, CSc., </w:t>
            </w:r>
          </w:p>
          <w:p w:rsidR="00515698" w:rsidRPr="00515698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ALS Czech Republic, s.r.o.</w:t>
            </w: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br/>
            </w:r>
            <w:r w:rsidRPr="005815C2">
              <w:rPr>
                <w:rFonts w:ascii="Georgia" w:hAnsi="Georgia"/>
                <w:bCs/>
                <w:color w:val="782008"/>
                <w:sz w:val="24"/>
                <w:szCs w:val="24"/>
              </w:rPr>
              <w:t xml:space="preserve">Měření a hodnocení obsahu přírodních radionuklidů v odpadech uvolňovaných z pracovišť s možností jejich zvýšeného obsahu </w:t>
            </w:r>
            <w:r w:rsidR="009226AF">
              <w:rPr>
                <w:rFonts w:ascii="Georgia" w:hAnsi="Georgia"/>
                <w:bCs/>
                <w:color w:val="782008"/>
                <w:sz w:val="24"/>
                <w:szCs w:val="24"/>
              </w:rPr>
              <w:br/>
            </w:r>
            <w:r w:rsidRPr="005815C2">
              <w:rPr>
                <w:rFonts w:ascii="Georgia" w:hAnsi="Georgia"/>
                <w:bCs/>
                <w:color w:val="782008"/>
                <w:sz w:val="24"/>
                <w:szCs w:val="24"/>
              </w:rPr>
              <w:t>– praktické zkušenosti a doporučení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13:50 – 14:10</w:t>
            </w:r>
          </w:p>
        </w:tc>
        <w:tc>
          <w:tcPr>
            <w:tcW w:w="7654" w:type="dxa"/>
          </w:tcPr>
          <w:p w:rsidR="008C5B10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RNDr. Diana Marešová, Ph.D., </w:t>
            </w:r>
          </w:p>
          <w:p w:rsidR="00515698" w:rsidRPr="00515698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VÚV</w:t>
            </w:r>
            <w:r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 xml:space="preserve"> TGM, </w:t>
            </w:r>
            <w:proofErr w:type="spellStart"/>
            <w:r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v.v.i</w:t>
            </w:r>
            <w:proofErr w:type="spellEnd"/>
            <w:r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.</w:t>
            </w:r>
            <w:r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br/>
            </w:r>
            <w:r w:rsidRPr="005815C2">
              <w:rPr>
                <w:rFonts w:ascii="Georgia" w:hAnsi="Georgia"/>
                <w:bCs/>
                <w:color w:val="782008"/>
                <w:sz w:val="24"/>
                <w:szCs w:val="24"/>
              </w:rPr>
              <w:t>Možnosti využití stanovení tritia pro monitorování podzemních vod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14:15 – 14:35</w:t>
            </w:r>
          </w:p>
        </w:tc>
        <w:tc>
          <w:tcPr>
            <w:tcW w:w="7654" w:type="dxa"/>
          </w:tcPr>
          <w:p w:rsidR="008C5B10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Ing. Eva </w:t>
            </w:r>
            <w:proofErr w:type="spellStart"/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Juranová</w:t>
            </w:r>
            <w:proofErr w:type="spellEnd"/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, </w:t>
            </w:r>
          </w:p>
          <w:p w:rsidR="00515698" w:rsidRPr="00515698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VÚV</w:t>
            </w:r>
            <w:r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 xml:space="preserve"> TGM, </w:t>
            </w:r>
            <w:proofErr w:type="spellStart"/>
            <w:r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v.v.i</w:t>
            </w:r>
            <w:proofErr w:type="spellEnd"/>
            <w:r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.</w:t>
            </w:r>
            <w:r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br/>
            </w:r>
            <w:r w:rsidRPr="005815C2">
              <w:rPr>
                <w:rFonts w:ascii="Georgia" w:hAnsi="Georgia"/>
                <w:bCs/>
                <w:color w:val="782008"/>
                <w:sz w:val="24"/>
                <w:szCs w:val="24"/>
              </w:rPr>
              <w:t>Transport tritia ve Vltavě a Labi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14:40 – 15:00</w:t>
            </w:r>
          </w:p>
        </w:tc>
        <w:tc>
          <w:tcPr>
            <w:tcW w:w="7654" w:type="dxa"/>
          </w:tcPr>
          <w:p w:rsidR="008C5B10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RNDr. Pavel Stierand, </w:t>
            </w:r>
          </w:p>
          <w:p w:rsidR="00515698" w:rsidRPr="00515698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ČHMÚ</w:t>
            </w: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br/>
            </w:r>
            <w:r w:rsidRPr="005815C2">
              <w:rPr>
                <w:rFonts w:ascii="Georgia" w:hAnsi="Georgia"/>
                <w:bCs/>
                <w:color w:val="782008"/>
                <w:sz w:val="24"/>
                <w:szCs w:val="24"/>
              </w:rPr>
              <w:t>Radioaktivní ukazatele v povrchových vodách povodí řeky Lužnice</w:t>
            </w:r>
          </w:p>
        </w:tc>
      </w:tr>
      <w:tr w:rsidR="00F4510A" w:rsidRPr="00515698" w:rsidTr="008C5B10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F4510A" w:rsidRPr="00515698" w:rsidRDefault="00F4510A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15:45</w:t>
            </w:r>
          </w:p>
        </w:tc>
        <w:tc>
          <w:tcPr>
            <w:tcW w:w="7654" w:type="dxa"/>
            <w:shd w:val="clear" w:color="auto" w:fill="FADCCD" w:themeFill="accent2" w:themeFillTint="33"/>
          </w:tcPr>
          <w:p w:rsidR="00F4510A" w:rsidRDefault="00F4510A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Odjezd na exkurzi </w:t>
            </w:r>
          </w:p>
        </w:tc>
      </w:tr>
      <w:tr w:rsidR="00F4510A" w:rsidRPr="00515698" w:rsidTr="008C5B10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F4510A" w:rsidRDefault="00F4510A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16:00 – 18:00</w:t>
            </w:r>
          </w:p>
        </w:tc>
        <w:tc>
          <w:tcPr>
            <w:tcW w:w="7654" w:type="dxa"/>
            <w:shd w:val="clear" w:color="auto" w:fill="FADCCD" w:themeFill="accent2" w:themeFillTint="33"/>
          </w:tcPr>
          <w:p w:rsidR="00F4510A" w:rsidRDefault="00F4510A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Exkurze v </w:t>
            </w:r>
            <w:proofErr w:type="spellStart"/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Ekotechnickém</w:t>
            </w:r>
            <w:proofErr w:type="spellEnd"/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 centru Alternátor</w:t>
            </w:r>
          </w:p>
        </w:tc>
      </w:tr>
      <w:tr w:rsidR="00F4510A" w:rsidRPr="00515698" w:rsidTr="008C5B10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F4510A" w:rsidRDefault="00F4510A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18:15</w:t>
            </w:r>
          </w:p>
        </w:tc>
        <w:tc>
          <w:tcPr>
            <w:tcW w:w="7654" w:type="dxa"/>
            <w:shd w:val="clear" w:color="auto" w:fill="FADCCD" w:themeFill="accent2" w:themeFillTint="33"/>
          </w:tcPr>
          <w:p w:rsidR="00F4510A" w:rsidRDefault="00F4510A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Návrat z exkurze</w:t>
            </w:r>
          </w:p>
        </w:tc>
      </w:tr>
      <w:tr w:rsidR="00F4510A" w:rsidRPr="00515698" w:rsidTr="008C5B10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F4510A" w:rsidRDefault="00F4510A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19:00 – 0:00</w:t>
            </w:r>
          </w:p>
        </w:tc>
        <w:tc>
          <w:tcPr>
            <w:tcW w:w="7654" w:type="dxa"/>
            <w:shd w:val="clear" w:color="auto" w:fill="FADCCD" w:themeFill="accent2" w:themeFillTint="33"/>
          </w:tcPr>
          <w:p w:rsidR="00F4510A" w:rsidRDefault="00F4510A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Společenský večer s hudbou a rautem</w:t>
            </w:r>
          </w:p>
        </w:tc>
      </w:tr>
    </w:tbl>
    <w:p w:rsidR="008C5B10" w:rsidRDefault="008C5B10">
      <w:r w:rsidRPr="008C5B10">
        <w:rPr>
          <w:b/>
          <w:bCs/>
          <w:noProof/>
          <w:color w:val="D55816" w:themeColor="accent2"/>
          <w:sz w:val="28"/>
          <w14:textFill>
            <w14:gradFill>
              <w14:gsLst>
                <w14:gs w14:pos="23650">
                  <w14:schemeClr w14:val="accent2">
                    <w14:lumMod w14:val="75000"/>
                  </w14:schemeClr>
                </w14:gs>
                <w14:gs w14:pos="0">
                  <w14:schemeClr w14:val="accent2">
                    <w14:lumMod w14:val="50000"/>
                  </w14:schemeClr>
                </w14:gs>
                <w14:gs w14:pos="50000">
                  <w14:schemeClr w14:val="accent2">
                    <w14:lumMod w14:val="60000"/>
                    <w14:lumOff w14:val="40000"/>
                  </w14:schemeClr>
                </w14:gs>
                <w14:gs w14:pos="100000">
                  <w14:schemeClr w14:val="accent2">
                    <w14:lumMod w14:val="7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-9513570</wp:posOffset>
                </wp:positionV>
                <wp:extent cx="3021330" cy="546100"/>
                <wp:effectExtent l="0" t="0" r="26670" b="2540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B10" w:rsidRPr="00657641" w:rsidRDefault="008C5B10" w:rsidP="008C5B10">
                            <w:pPr>
                              <w:jc w:val="center"/>
                              <w:rPr>
                                <w:rFonts w:ascii="Georgia" w:eastAsia="Times New Roman" w:hAnsi="Georgia" w:cs="Arial"/>
                                <w:b/>
                                <w:color w:val="262626" w:themeColor="text1" w:themeTint="D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b/>
                                <w:color w:val="262626" w:themeColor="text1" w:themeTint="D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 KONFERENCE</w:t>
                            </w:r>
                          </w:p>
                          <w:p w:rsidR="008C5B10" w:rsidRDefault="008C5B10" w:rsidP="008C5B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7.95pt;margin-top:-749.1pt;width:237.9pt;height:4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yKNwIAAFEEAAAOAAAAZHJzL2Uyb0RvYy54bWysVNuO2yAQfa/Uf0C8N74k2YsVZ7XNNlWl&#10;7UXa7QdgjGNUzFAgsdM/2u/oj3XASZqmb1X9gBhmOMycM+PF3dApshPWSdAlzSYpJUJzqKXelPTr&#10;8/rNDSXOM10zBVqUdC8cvVu+frXoTSFyaEHVwhIE0a7oTUlb702RJI63omNuAkZodDZgO+bRtJuk&#10;tqxH9E4leZpeJT3Y2ljgwjk8fRiddBnxm0Zw/7lpnPBElRRz83G1ca3CmiwXrNhYZlrJD2mwf8ii&#10;Y1LjoyeoB+YZ2Vr5F1QnuQUHjZ9w6BJoGslFrAGrydKLap5aZkSsBclx5kST+3+w/NPuiyWyLmme&#10;XVOiWYciPYvBw+7nCzGgBMkDSb1xBcY+GYz2w1sYUOxYsDOPwL85omHVMr0R99ZC3wpWY5JZuJmc&#10;XR1xXACp+o9Q41ts6yECDY3tAoPICUF0FGt/EgjzIRwPp2meTafo4uibz66yNCqYsOJ421jn3wvo&#10;SNiU1GIDRHS2e3Q+ZMOKY0h4zIGS9VoqFQ27qVbKkh3DZlnHLxZwEaY06Ut6O8/nIwF/QIS+FSeQ&#10;ajNScIHQSY9Nr2RX0ps0fGMbBtbe6Tq2pGdSjXvMWOkDjYG5kUM/VEOUbX5Up4J6j7xaGHscZxI3&#10;LdgflPTY3yV137fMCkrUB43a3GazWRiIaMzm1zka9txTnXuY5ghVUk/JuF35OESBNg33qGEjI71B&#10;7DGTQ8rYt5H1w4yFwTi3Y9TvP8HyFwAAAP//AwBQSwMEFAAGAAgAAAAhAHfxzazkAAAADwEAAA8A&#10;AABkcnMvZG93bnJldi54bWxMj8tOwzAQRfdI/IM1ldi1TkxfCXEqBKI7hBpQYenE0yQiHkex2wa+&#10;HsOmLGfm6M652WY0HTvh4FpLEuJZBAypsrqlWsLb69N0Dcx5RVp1llDCFzrY5NdXmUq1PdMOT4Wv&#10;WQghlyoJjfd9yrmrGjTKzWyPFG4HOxjlwzjUXA/qHMJNx0UULblRLYUPjerxocHqszgaCa6KlvuX&#10;ebF/L/kWvxOtHz+2z1LeTMb7O2AeR3+B4Vc/qEMenEp7JO1YJ0EsFklAJUzjebIWwAKzuo1XwMq/&#10;XSwE8Dzj/3vkPwAAAP//AwBQSwECLQAUAAYACAAAACEAtoM4kv4AAADhAQAAEwAAAAAAAAAAAAAA&#10;AAAAAAAAW0NvbnRlbnRfVHlwZXNdLnhtbFBLAQItABQABgAIAAAAIQA4/SH/1gAAAJQBAAALAAAA&#10;AAAAAAAAAAAAAC8BAABfcmVscy8ucmVsc1BLAQItABQABgAIAAAAIQCS3XyKNwIAAFEEAAAOAAAA&#10;AAAAAAAAAAAAAC4CAABkcnMvZTJvRG9jLnhtbFBLAQItABQABgAIAAAAIQB38c2s5AAAAA8BAAAP&#10;AAAAAAAAAAAAAAAAAJEEAABkcnMvZG93bnJldi54bWxQSwUGAAAAAAQABADzAAAAogUAAAAA&#10;" strokecolor="white [3212]">
                <v:textbox>
                  <w:txbxContent>
                    <w:p w:rsidR="008C5B10" w:rsidRPr="00657641" w:rsidRDefault="008C5B10" w:rsidP="008C5B10">
                      <w:pPr>
                        <w:jc w:val="center"/>
                        <w:rPr>
                          <w:rFonts w:ascii="Georgia" w:eastAsia="Times New Roman" w:hAnsi="Georgia" w:cs="Arial"/>
                          <w:b/>
                          <w:color w:val="262626" w:themeColor="text1" w:themeTint="D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eastAsia="Times New Roman" w:hAnsi="Georgia" w:cs="Arial"/>
                          <w:b/>
                          <w:color w:val="262626" w:themeColor="text1" w:themeTint="D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 KONFERENCE</w:t>
                      </w:r>
                    </w:p>
                    <w:p w:rsidR="008C5B10" w:rsidRDefault="008C5B10" w:rsidP="008C5B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5B10" w:rsidRDefault="008C5B10"/>
    <w:tbl>
      <w:tblPr>
        <w:tblStyle w:val="Mkatabulky"/>
        <w:tblW w:w="10201" w:type="dxa"/>
        <w:jc w:val="center"/>
        <w:tblBorders>
          <w:top w:val="double" w:sz="4" w:space="0" w:color="782008"/>
          <w:left w:val="double" w:sz="4" w:space="0" w:color="782008"/>
          <w:bottom w:val="double" w:sz="4" w:space="0" w:color="782008"/>
          <w:right w:val="double" w:sz="4" w:space="0" w:color="782008"/>
          <w:insideH w:val="single" w:sz="6" w:space="0" w:color="782008"/>
          <w:insideV w:val="single" w:sz="6" w:space="0" w:color="782008"/>
        </w:tblBorders>
        <w:tblLook w:val="04A0" w:firstRow="1" w:lastRow="0" w:firstColumn="1" w:lastColumn="0" w:noHBand="0" w:noVBand="1"/>
      </w:tblPr>
      <w:tblGrid>
        <w:gridCol w:w="2547"/>
        <w:gridCol w:w="7654"/>
      </w:tblGrid>
      <w:tr w:rsidR="00607FEE" w:rsidRPr="00607FEE" w:rsidTr="00607FEE">
        <w:trPr>
          <w:trHeight w:val="426"/>
          <w:jc w:val="center"/>
        </w:trPr>
        <w:tc>
          <w:tcPr>
            <w:tcW w:w="10201" w:type="dxa"/>
            <w:gridSpan w:val="2"/>
            <w:shd w:val="clear" w:color="auto" w:fill="782008"/>
            <w:vAlign w:val="center"/>
          </w:tcPr>
          <w:bookmarkEnd w:id="1"/>
          <w:p w:rsidR="00515698" w:rsidRPr="00607FEE" w:rsidRDefault="00607FEE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26. dubna 2019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09:00 – 09:20</w:t>
            </w:r>
          </w:p>
        </w:tc>
        <w:tc>
          <w:tcPr>
            <w:tcW w:w="7654" w:type="dxa"/>
          </w:tcPr>
          <w:p w:rsidR="008C5B10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Ing. Lenka Fremrová, </w:t>
            </w:r>
          </w:p>
          <w:p w:rsidR="00515698" w:rsidRPr="00515698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SWECO HYDROPROJEKT, a.s.</w:t>
            </w:r>
            <w:r w:rsidRPr="005815C2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br/>
            </w:r>
            <w:r w:rsidRPr="005815C2">
              <w:rPr>
                <w:rFonts w:ascii="Georgia" w:hAnsi="Georgia"/>
                <w:bCs/>
                <w:color w:val="782008"/>
                <w:sz w:val="24"/>
                <w:szCs w:val="24"/>
              </w:rPr>
              <w:t>Normy pro stanovení radioaktivních látek ve vzorcích vody a související normy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09:25 – 09:45</w:t>
            </w:r>
          </w:p>
        </w:tc>
        <w:tc>
          <w:tcPr>
            <w:tcW w:w="7654" w:type="dxa"/>
          </w:tcPr>
          <w:p w:rsidR="008C5B10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Ing. Barbora Sedlářová, </w:t>
            </w:r>
          </w:p>
          <w:p w:rsidR="00515698" w:rsidRPr="00515698" w:rsidRDefault="005815C2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 xml:space="preserve">VÚV TGM, </w:t>
            </w:r>
            <w:proofErr w:type="spellStart"/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v.v.i</w:t>
            </w:r>
            <w:proofErr w:type="spellEnd"/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.</w:t>
            </w:r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br/>
            </w:r>
            <w:r w:rsidR="00F4510A"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>Novelizace normy ve stanovení radonu 222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09:50 – 10:10</w:t>
            </w:r>
          </w:p>
        </w:tc>
        <w:tc>
          <w:tcPr>
            <w:tcW w:w="7654" w:type="dxa"/>
          </w:tcPr>
          <w:p w:rsidR="008C5B10" w:rsidRDefault="00F4510A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RNDr. Tomáš Soukup, </w:t>
            </w:r>
          </w:p>
          <w:p w:rsidR="00515698" w:rsidRPr="00515698" w:rsidRDefault="00F4510A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Český metrologický institut</w:t>
            </w:r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br/>
            </w:r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>Dvacet let ověřování měřidel Ra-226 ve vodě</w:t>
            </w:r>
          </w:p>
        </w:tc>
      </w:tr>
      <w:tr w:rsidR="00515698" w:rsidRPr="00515698" w:rsidTr="00AB571E">
        <w:trPr>
          <w:trHeight w:val="398"/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10:15 – 10:35</w:t>
            </w:r>
          </w:p>
        </w:tc>
        <w:tc>
          <w:tcPr>
            <w:tcW w:w="7654" w:type="dxa"/>
            <w:shd w:val="clear" w:color="auto" w:fill="FADCCD" w:themeFill="accent2" w:themeFillTint="33"/>
            <w:vAlign w:val="center"/>
          </w:tcPr>
          <w:p w:rsidR="00515698" w:rsidRPr="00515698" w:rsidRDefault="00515698" w:rsidP="00AB571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Přestávka na kávu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10:35 – 10:55</w:t>
            </w:r>
          </w:p>
        </w:tc>
        <w:tc>
          <w:tcPr>
            <w:tcW w:w="7654" w:type="dxa"/>
          </w:tcPr>
          <w:p w:rsidR="008C5B10" w:rsidRDefault="00F4510A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prof. RNDr. Ľubomír Mátel, CSc., </w:t>
            </w:r>
          </w:p>
          <w:p w:rsidR="00515698" w:rsidRPr="00515698" w:rsidRDefault="00F4510A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Univerzita Komenského v </w:t>
            </w:r>
            <w:proofErr w:type="spellStart"/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Bratislave</w:t>
            </w:r>
            <w:proofErr w:type="spellEnd"/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br/>
            </w:r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 xml:space="preserve">Problematika </w:t>
            </w:r>
            <w:proofErr w:type="spellStart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>stanovenia</w:t>
            </w:r>
            <w:proofErr w:type="spellEnd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 xml:space="preserve"> Ra-228 </w:t>
            </w:r>
            <w:proofErr w:type="spellStart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>vo</w:t>
            </w:r>
            <w:proofErr w:type="spellEnd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 xml:space="preserve"> vodách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11:00 – 11:20</w:t>
            </w:r>
          </w:p>
        </w:tc>
        <w:tc>
          <w:tcPr>
            <w:tcW w:w="7654" w:type="dxa"/>
          </w:tcPr>
          <w:p w:rsidR="008C5B10" w:rsidRDefault="00F4510A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Ing. Tomáš Bouda, CSc., </w:t>
            </w:r>
          </w:p>
          <w:p w:rsidR="00515698" w:rsidRPr="00515698" w:rsidRDefault="00F4510A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ALS Czech Republic, s.r.o.</w:t>
            </w: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br/>
            </w:r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>Současné stanovení celkové alfa a beta aktivity ve vodách kapalinovou scintilační měřící metodou (LSC analyzátor s PSD)</w:t>
            </w:r>
          </w:p>
        </w:tc>
      </w:tr>
      <w:tr w:rsidR="00515698" w:rsidRPr="00515698" w:rsidTr="00607FEE">
        <w:trPr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11:25 – 11:45</w:t>
            </w:r>
          </w:p>
        </w:tc>
        <w:tc>
          <w:tcPr>
            <w:tcW w:w="7654" w:type="dxa"/>
          </w:tcPr>
          <w:p w:rsidR="008C5B10" w:rsidRDefault="00F4510A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RNDr. Dušan Galanda, PhD., </w:t>
            </w:r>
          </w:p>
          <w:p w:rsidR="00515698" w:rsidRPr="00515698" w:rsidRDefault="00F4510A" w:rsidP="00607FE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Univerzita Komenského v </w:t>
            </w:r>
            <w:proofErr w:type="spellStart"/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Bratislave</w:t>
            </w:r>
            <w:proofErr w:type="spellEnd"/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br/>
            </w:r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 xml:space="preserve">Potenciál </w:t>
            </w:r>
            <w:proofErr w:type="spellStart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>aplikácie</w:t>
            </w:r>
            <w:proofErr w:type="spellEnd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 xml:space="preserve"> </w:t>
            </w:r>
            <w:proofErr w:type="spellStart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>Dunaliella</w:t>
            </w:r>
            <w:proofErr w:type="spellEnd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 xml:space="preserve"> salina a </w:t>
            </w:r>
            <w:proofErr w:type="spellStart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>Chlamydomonas</w:t>
            </w:r>
            <w:proofErr w:type="spellEnd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 xml:space="preserve"> </w:t>
            </w:r>
            <w:proofErr w:type="spellStart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>reinhardtii</w:t>
            </w:r>
            <w:proofErr w:type="spellEnd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 xml:space="preserve"> na </w:t>
            </w:r>
            <w:proofErr w:type="spellStart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>dekontamináciu</w:t>
            </w:r>
            <w:proofErr w:type="spellEnd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 xml:space="preserve"> vody </w:t>
            </w:r>
            <w:proofErr w:type="spellStart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>fy</w:t>
            </w:r>
            <w:r w:rsidR="002B102F">
              <w:rPr>
                <w:rFonts w:ascii="Georgia" w:hAnsi="Georgia"/>
                <w:bCs/>
                <w:color w:val="782008"/>
                <w:sz w:val="24"/>
                <w:szCs w:val="24"/>
              </w:rPr>
              <w:t>t</w:t>
            </w:r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>oremediačnými</w:t>
            </w:r>
            <w:proofErr w:type="spellEnd"/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 xml:space="preserve"> metodami</w:t>
            </w:r>
          </w:p>
        </w:tc>
      </w:tr>
      <w:tr w:rsidR="00515698" w:rsidRPr="00515698" w:rsidTr="00F4510A">
        <w:trPr>
          <w:trHeight w:val="446"/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11:50 – 12:</w:t>
            </w:r>
            <w:r w:rsidR="00F4510A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</w:t>
            </w: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C5B10" w:rsidRDefault="00F4510A" w:rsidP="00F4510A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Ing. Barbora Sedlářová, </w:t>
            </w:r>
          </w:p>
          <w:p w:rsidR="00515698" w:rsidRPr="00515698" w:rsidRDefault="00F4510A" w:rsidP="00F4510A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 xml:space="preserve">VÚV TGM, </w:t>
            </w:r>
            <w:proofErr w:type="spellStart"/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v.v.i</w:t>
            </w:r>
            <w:proofErr w:type="spellEnd"/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.</w:t>
            </w:r>
            <w:r w:rsidRPr="00F4510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br/>
            </w:r>
            <w:r w:rsidRPr="00F4510A">
              <w:rPr>
                <w:rFonts w:ascii="Georgia" w:hAnsi="Georgia"/>
                <w:bCs/>
                <w:color w:val="782008"/>
                <w:sz w:val="24"/>
                <w:szCs w:val="24"/>
              </w:rPr>
              <w:t>Detekce umělých radionuklidů na čistírnách odpadních vod</w:t>
            </w:r>
          </w:p>
        </w:tc>
      </w:tr>
      <w:tr w:rsidR="002D431A" w:rsidRPr="00515698" w:rsidTr="00F4510A">
        <w:trPr>
          <w:trHeight w:val="446"/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2D431A" w:rsidRPr="00515698" w:rsidRDefault="002D431A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12:15 – 12:35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D431A" w:rsidRDefault="002D431A" w:rsidP="00F4510A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Ing. Ivo Světlík, Ph.D.</w:t>
            </w: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br/>
            </w:r>
            <w:r w:rsidRPr="002D431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 xml:space="preserve">Ústav jaderné fyziky AV ČR, </w:t>
            </w:r>
            <w:proofErr w:type="spellStart"/>
            <w:r w:rsidRPr="002D431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v.v.i</w:t>
            </w:r>
            <w:proofErr w:type="spellEnd"/>
            <w:r w:rsidRPr="002D431A">
              <w:rPr>
                <w:rFonts w:ascii="Georgia" w:hAnsi="Georgia"/>
                <w:bCs/>
                <w:i/>
                <w:color w:val="782008"/>
                <w:sz w:val="24"/>
                <w:szCs w:val="24"/>
              </w:rPr>
              <w:t>.</w:t>
            </w: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br/>
            </w:r>
            <w:r w:rsidRPr="002D431A">
              <w:rPr>
                <w:rFonts w:ascii="Georgia" w:hAnsi="Georgia"/>
                <w:bCs/>
                <w:color w:val="782008"/>
                <w:sz w:val="24"/>
                <w:szCs w:val="24"/>
              </w:rPr>
              <w:t>Zavádění metody AMS v ČR – Projekt RAMSES</w:t>
            </w:r>
          </w:p>
        </w:tc>
      </w:tr>
      <w:tr w:rsidR="008C5B10" w:rsidRPr="00515698" w:rsidTr="00AB571E">
        <w:trPr>
          <w:trHeight w:val="410"/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8C5B10" w:rsidRPr="00515698" w:rsidRDefault="008C5B10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12:</w:t>
            </w:r>
            <w:r w:rsidR="002D431A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40</w:t>
            </w: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 – 12:</w:t>
            </w:r>
            <w:r w:rsidR="002D431A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45</w:t>
            </w:r>
          </w:p>
        </w:tc>
        <w:tc>
          <w:tcPr>
            <w:tcW w:w="7654" w:type="dxa"/>
            <w:shd w:val="clear" w:color="auto" w:fill="FADCCD" w:themeFill="accent2" w:themeFillTint="33"/>
            <w:vAlign w:val="center"/>
          </w:tcPr>
          <w:p w:rsidR="008C5B10" w:rsidRPr="00515698" w:rsidRDefault="008C5B10" w:rsidP="00AB571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Závěrečná diskuse</w:t>
            </w:r>
          </w:p>
        </w:tc>
      </w:tr>
      <w:tr w:rsidR="00515698" w:rsidRPr="00515698" w:rsidTr="00AB571E">
        <w:trPr>
          <w:trHeight w:val="410"/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515698" w:rsidRPr="00515698" w:rsidRDefault="00515698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 w:rsidRPr="00515698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12:</w:t>
            </w:r>
            <w:r w:rsidR="002D431A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45</w:t>
            </w:r>
            <w:r w:rsidR="008C5B10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 xml:space="preserve"> – 13:</w:t>
            </w:r>
            <w:r w:rsidR="002D431A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45</w:t>
            </w:r>
          </w:p>
        </w:tc>
        <w:tc>
          <w:tcPr>
            <w:tcW w:w="7654" w:type="dxa"/>
            <w:shd w:val="clear" w:color="auto" w:fill="FADCCD" w:themeFill="accent2" w:themeFillTint="33"/>
            <w:vAlign w:val="center"/>
          </w:tcPr>
          <w:p w:rsidR="00515698" w:rsidRPr="00515698" w:rsidRDefault="008C5B10" w:rsidP="00AB571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Oběd</w:t>
            </w:r>
          </w:p>
        </w:tc>
      </w:tr>
      <w:tr w:rsidR="008C5B10" w:rsidRPr="00515698" w:rsidTr="00AB571E">
        <w:trPr>
          <w:trHeight w:val="410"/>
          <w:jc w:val="center"/>
        </w:trPr>
        <w:tc>
          <w:tcPr>
            <w:tcW w:w="2547" w:type="dxa"/>
            <w:shd w:val="clear" w:color="auto" w:fill="FADCCD" w:themeFill="accent2" w:themeFillTint="33"/>
            <w:vAlign w:val="center"/>
          </w:tcPr>
          <w:p w:rsidR="008C5B10" w:rsidRPr="00515698" w:rsidRDefault="008C5B10" w:rsidP="00515698">
            <w:pPr>
              <w:spacing w:before="0" w:line="276" w:lineRule="auto"/>
              <w:ind w:right="260"/>
              <w:jc w:val="center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13:</w:t>
            </w:r>
            <w:r w:rsidR="002D431A"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45</w:t>
            </w:r>
          </w:p>
        </w:tc>
        <w:tc>
          <w:tcPr>
            <w:tcW w:w="7654" w:type="dxa"/>
            <w:shd w:val="clear" w:color="auto" w:fill="FADCCD" w:themeFill="accent2" w:themeFillTint="33"/>
            <w:vAlign w:val="center"/>
          </w:tcPr>
          <w:p w:rsidR="008C5B10" w:rsidRDefault="008C5B10" w:rsidP="00AB571E">
            <w:pPr>
              <w:spacing w:before="0" w:line="276" w:lineRule="auto"/>
              <w:ind w:right="260"/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782008"/>
                <w:sz w:val="24"/>
                <w:szCs w:val="24"/>
              </w:rPr>
              <w:t>Ukončení konference</w:t>
            </w:r>
          </w:p>
        </w:tc>
      </w:tr>
    </w:tbl>
    <w:p w:rsidR="00515698" w:rsidRDefault="00FF5B3D" w:rsidP="000608E4">
      <w:pPr>
        <w:jc w:val="center"/>
        <w:rPr>
          <w:b/>
          <w:bCs/>
          <w:color w:val="D55816" w:themeColor="accent2"/>
          <w:sz w:val="28"/>
          <w14:textFill>
            <w14:gradFill>
              <w14:gsLst>
                <w14:gs w14:pos="23650">
                  <w14:schemeClr w14:val="accent2">
                    <w14:lumMod w14:val="75000"/>
                  </w14:schemeClr>
                </w14:gs>
                <w14:gs w14:pos="0">
                  <w14:schemeClr w14:val="accent2">
                    <w14:lumMod w14:val="50000"/>
                  </w14:schemeClr>
                </w14:gs>
                <w14:gs w14:pos="50000">
                  <w14:schemeClr w14:val="accent2">
                    <w14:lumMod w14:val="60000"/>
                    <w14:lumOff w14:val="40000"/>
                  </w14:schemeClr>
                </w14:gs>
                <w14:gs w14:pos="100000">
                  <w14:schemeClr w14:val="accent2">
                    <w14:lumMod w14:val="7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FF5B3D">
        <w:rPr>
          <w:b/>
          <w:bCs/>
          <w:noProof/>
          <w:color w:val="D55816" w:themeColor="accent2"/>
          <w:sz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209550</wp:posOffset>
                </wp:positionV>
                <wp:extent cx="2710180" cy="1404620"/>
                <wp:effectExtent l="0" t="0" r="13970" b="2413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3D" w:rsidRPr="00FF5B3D" w:rsidRDefault="00FF5B3D" w:rsidP="00FF5B3D">
                            <w:pPr>
                              <w:spacing w:before="0" w:line="276" w:lineRule="auto"/>
                              <w:ind w:right="26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782008"/>
                                <w:sz w:val="24"/>
                                <w:szCs w:val="24"/>
                              </w:rPr>
                            </w:pPr>
                            <w:r w:rsidRPr="00FF5B3D">
                              <w:rPr>
                                <w:rFonts w:ascii="Georgia" w:hAnsi="Georgia"/>
                                <w:b/>
                                <w:bCs/>
                                <w:color w:val="782008"/>
                                <w:sz w:val="24"/>
                                <w:szCs w:val="24"/>
                              </w:rPr>
                              <w:t>Změna programu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5pt;margin-top:16.5pt;width:213.4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3VNQIAAFAEAAAOAAAAZHJzL2Uyb0RvYy54bWysVNuO2yAQfa/Uf0C8N74oyWatOKtttqkq&#10;bS/Sbj8AYxyjYoYCiZ3+Ub9jf6wDTtI0favqB8Qww2HmnBkv74ZOkb2wToIuaTZJKRGaQy31tqRf&#10;nzdvFpQ4z3TNFGhR0oNw9G71+tWyN4XIoQVVC0sQRLuiNyVtvTdFkjjeio65CRih0dmA7ZhH026T&#10;2rIe0TuV5Gk6T3qwtbHAhXN4+jA66SriN43g/nPTOOGJKinm5uNq41qFNVktWbG1zLSSH9Ng/5BF&#10;x6TGR89QD8wzsrPyL6hOcgsOGj/h0CXQNJKLWANWk6VX1Ty1zIhYC5LjzJkm9/9g+af9F0tkXdJb&#10;SjTrUKJnMXjYv/wkBpQgeaCoN67AyCeDsX54CwNKHct15hH4N0c0rFumt+LeWuhbwWpMMQs3k4ur&#10;I44LIFX/EWp8i+08RKChsV3gDxkhiI5SHc7yYD6E42F+k6XZAl0cfdk0nc7zKGDCitN1Y51/L6Aj&#10;YVNSi/pHeLZ/dD6kw4pTSHjNgZL1RioVDbut1sqSPcNe2cQvVnAVpjTpka1ZPhsZ+AMitK04g1Tb&#10;kYMrhE567Hklu5Iu0vCNXRhoe6fr2JGeSTXuMWOljzwG6kYS/VANUbX5SZ4K6gMSa2FscRxJ3LRg&#10;f1DSY3uX1H3fMSsoUR80inObTadhHqIxnd0gk8ReeqpLD9McoUrqKRm3ax9nKNJm7lHEjYz0BrXH&#10;TI4pY9tG1o8jFubi0o5Rv38Eq18AAAD//wMAUEsDBBQABgAIAAAAIQDLfL1z4AAAAAoBAAAPAAAA&#10;ZHJzL2Rvd25yZXYueG1sTI/NTsMwEITvSLyDtUjcqEMKoYQ4FSDBgUOrBlSuTrL5EfY6ip00vD3L&#10;CU6r0Yxm58u2izVixtH3jhRcryIQSJWre2oVfLy/XG1A+KCp1sYRKvhGD9v8/CzTae1OdMC5CK3g&#10;EvKpVtCFMKRS+qpDq/3KDUjsNW60OrAcW1mP+sTl1sg4ihJpdU/8odMDPndYfRWTVfD6JMvdodiX&#10;zWdj5jdztNNub5W6vFgeH0AEXMJfGH7n83TIeVPpJqq9MAriu4hZgoL1mi8HkvuEWUp2bm9ikHkm&#10;/yPkPwAAAP//AwBQSwECLQAUAAYACAAAACEAtoM4kv4AAADhAQAAEwAAAAAAAAAAAAAAAAAAAAAA&#10;W0NvbnRlbnRfVHlwZXNdLnhtbFBLAQItABQABgAIAAAAIQA4/SH/1gAAAJQBAAALAAAAAAAAAAAA&#10;AAAAAC8BAABfcmVscy8ucmVsc1BLAQItABQABgAIAAAAIQBQRA3VNQIAAFAEAAAOAAAAAAAAAAAA&#10;AAAAAC4CAABkcnMvZTJvRG9jLnhtbFBLAQItABQABgAIAAAAIQDLfL1z4AAAAAoBAAAPAAAAAAAA&#10;AAAAAAAAAI8EAABkcnMvZG93bnJldi54bWxQSwUGAAAAAAQABADzAAAAnAUAAAAA&#10;" strokecolor="white [3212]">
                <v:textbox style="mso-fit-shape-to-text:t">
                  <w:txbxContent>
                    <w:p w:rsidR="00FF5B3D" w:rsidRPr="00FF5B3D" w:rsidRDefault="00FF5B3D" w:rsidP="00FF5B3D">
                      <w:pPr>
                        <w:spacing w:before="0" w:line="276" w:lineRule="auto"/>
                        <w:ind w:right="260"/>
                        <w:jc w:val="center"/>
                        <w:rPr>
                          <w:rFonts w:ascii="Georgia" w:hAnsi="Georgia"/>
                          <w:b/>
                          <w:bCs/>
                          <w:color w:val="782008"/>
                          <w:sz w:val="24"/>
                          <w:szCs w:val="24"/>
                        </w:rPr>
                      </w:pPr>
                      <w:r w:rsidRPr="00FF5B3D">
                        <w:rPr>
                          <w:rFonts w:ascii="Georgia" w:hAnsi="Georgia"/>
                          <w:b/>
                          <w:bCs/>
                          <w:color w:val="782008"/>
                          <w:sz w:val="24"/>
                          <w:szCs w:val="24"/>
                        </w:rPr>
                        <w:t>Změna programu vyhrazena</w:t>
                      </w:r>
                    </w:p>
                  </w:txbxContent>
                </v:textbox>
              </v:shape>
            </w:pict>
          </mc:Fallback>
        </mc:AlternateContent>
      </w:r>
    </w:p>
    <w:p w:rsidR="008C5B10" w:rsidRDefault="008C5B10" w:rsidP="000608E4">
      <w:pPr>
        <w:jc w:val="center"/>
        <w:rPr>
          <w:b/>
          <w:bCs/>
          <w:color w:val="D55816" w:themeColor="accent2"/>
          <w:sz w:val="28"/>
          <w14:textFill>
            <w14:gradFill>
              <w14:gsLst>
                <w14:gs w14:pos="23650">
                  <w14:schemeClr w14:val="accent2">
                    <w14:lumMod w14:val="75000"/>
                  </w14:schemeClr>
                </w14:gs>
                <w14:gs w14:pos="0">
                  <w14:schemeClr w14:val="accent2">
                    <w14:lumMod w14:val="50000"/>
                  </w14:schemeClr>
                </w14:gs>
                <w14:gs w14:pos="50000">
                  <w14:schemeClr w14:val="accent2">
                    <w14:lumMod w14:val="60000"/>
                    <w14:lumOff w14:val="40000"/>
                  </w14:schemeClr>
                </w14:gs>
                <w14:gs w14:pos="100000">
                  <w14:schemeClr w14:val="accent2">
                    <w14:lumMod w14:val="7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8C5B10" w:rsidRDefault="008C5B10" w:rsidP="000608E4">
      <w:pPr>
        <w:jc w:val="center"/>
        <w:rPr>
          <w:b/>
          <w:bCs/>
          <w:color w:val="D55816" w:themeColor="accent2"/>
          <w:sz w:val="28"/>
          <w14:textFill>
            <w14:gradFill>
              <w14:gsLst>
                <w14:gs w14:pos="23650">
                  <w14:schemeClr w14:val="accent2">
                    <w14:lumMod w14:val="75000"/>
                  </w14:schemeClr>
                </w14:gs>
                <w14:gs w14:pos="0">
                  <w14:schemeClr w14:val="accent2">
                    <w14:lumMod w14:val="50000"/>
                  </w14:schemeClr>
                </w14:gs>
                <w14:gs w14:pos="50000">
                  <w14:schemeClr w14:val="accent2">
                    <w14:lumMod w14:val="60000"/>
                    <w14:lumOff w14:val="40000"/>
                  </w14:schemeClr>
                </w14:gs>
                <w14:gs w14:pos="100000">
                  <w14:schemeClr w14:val="accent2">
                    <w14:lumMod w14:val="7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8C5B10" w:rsidRDefault="008C5B10" w:rsidP="000608E4">
      <w:pPr>
        <w:jc w:val="center"/>
        <w:rPr>
          <w:b/>
          <w:bCs/>
          <w:color w:val="D55816" w:themeColor="accent2"/>
          <w:sz w:val="28"/>
          <w14:textFill>
            <w14:gradFill>
              <w14:gsLst>
                <w14:gs w14:pos="23650">
                  <w14:schemeClr w14:val="accent2">
                    <w14:lumMod w14:val="75000"/>
                  </w14:schemeClr>
                </w14:gs>
                <w14:gs w14:pos="0">
                  <w14:schemeClr w14:val="accent2">
                    <w14:lumMod w14:val="50000"/>
                  </w14:schemeClr>
                </w14:gs>
                <w14:gs w14:pos="50000">
                  <w14:schemeClr w14:val="accent2">
                    <w14:lumMod w14:val="60000"/>
                    <w14:lumOff w14:val="40000"/>
                  </w14:schemeClr>
                </w14:gs>
                <w14:gs w14:pos="100000">
                  <w14:schemeClr w14:val="accent2">
                    <w14:lumMod w14:val="7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8C5B10" w:rsidRDefault="008C5B10" w:rsidP="000608E4">
      <w:pPr>
        <w:jc w:val="center"/>
        <w:rPr>
          <w:b/>
          <w:bCs/>
          <w:color w:val="D55816" w:themeColor="accent2"/>
          <w:sz w:val="28"/>
          <w14:textFill>
            <w14:gradFill>
              <w14:gsLst>
                <w14:gs w14:pos="23650">
                  <w14:schemeClr w14:val="accent2">
                    <w14:lumMod w14:val="75000"/>
                  </w14:schemeClr>
                </w14:gs>
                <w14:gs w14:pos="0">
                  <w14:schemeClr w14:val="accent2">
                    <w14:lumMod w14:val="50000"/>
                  </w14:schemeClr>
                </w14:gs>
                <w14:gs w14:pos="50000">
                  <w14:schemeClr w14:val="accent2">
                    <w14:lumMod w14:val="60000"/>
                    <w14:lumOff w14:val="40000"/>
                  </w14:schemeClr>
                </w14:gs>
                <w14:gs w14:pos="100000">
                  <w14:schemeClr w14:val="accent2">
                    <w14:lumMod w14:val="7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8C5B10" w:rsidRDefault="008C5B10" w:rsidP="000608E4">
      <w:pPr>
        <w:jc w:val="center"/>
        <w:rPr>
          <w:b/>
          <w:bCs/>
          <w:color w:val="D55816" w:themeColor="accent2"/>
          <w:sz w:val="28"/>
          <w14:textFill>
            <w14:gradFill>
              <w14:gsLst>
                <w14:gs w14:pos="23650">
                  <w14:schemeClr w14:val="accent2">
                    <w14:lumMod w14:val="75000"/>
                  </w14:schemeClr>
                </w14:gs>
                <w14:gs w14:pos="0">
                  <w14:schemeClr w14:val="accent2">
                    <w14:lumMod w14:val="50000"/>
                  </w14:schemeClr>
                </w14:gs>
                <w14:gs w14:pos="50000">
                  <w14:schemeClr w14:val="accent2">
                    <w14:lumMod w14:val="60000"/>
                    <w14:lumOff w14:val="40000"/>
                  </w14:schemeClr>
                </w14:gs>
                <w14:gs w14:pos="100000">
                  <w14:schemeClr w14:val="accent2">
                    <w14:lumMod w14:val="7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8C5B10" w:rsidRDefault="008C5B10" w:rsidP="000608E4">
      <w:pPr>
        <w:jc w:val="center"/>
        <w:rPr>
          <w:b/>
          <w:bCs/>
          <w:color w:val="D55816" w:themeColor="accent2"/>
          <w:sz w:val="28"/>
          <w14:textFill>
            <w14:gradFill>
              <w14:gsLst>
                <w14:gs w14:pos="23650">
                  <w14:schemeClr w14:val="accent2">
                    <w14:lumMod w14:val="75000"/>
                  </w14:schemeClr>
                </w14:gs>
                <w14:gs w14:pos="0">
                  <w14:schemeClr w14:val="accent2">
                    <w14:lumMod w14:val="50000"/>
                  </w14:schemeClr>
                </w14:gs>
                <w14:gs w14:pos="50000">
                  <w14:schemeClr w14:val="accent2">
                    <w14:lumMod w14:val="60000"/>
                    <w14:lumOff w14:val="40000"/>
                  </w14:schemeClr>
                </w14:gs>
                <w14:gs w14:pos="100000">
                  <w14:schemeClr w14:val="accent2">
                    <w14:lumMod w14:val="7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2" w:name="_GoBack"/>
      <w:bookmarkEnd w:id="2"/>
    </w:p>
    <w:sectPr w:rsidR="008C5B10" w:rsidSect="007A1DED">
      <w:pgSz w:w="11907" w:h="16839" w:code="9"/>
      <w:pgMar w:top="1080" w:right="1080" w:bottom="576" w:left="1080" w:header="720" w:footer="720" w:gutter="0"/>
      <w:pgNumType w:start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F8" w:rsidRDefault="001E0AF8" w:rsidP="001444FB">
      <w:pPr>
        <w:spacing w:before="0"/>
      </w:pPr>
      <w:r>
        <w:separator/>
      </w:r>
    </w:p>
  </w:endnote>
  <w:endnote w:type="continuationSeparator" w:id="0">
    <w:p w:rsidR="001E0AF8" w:rsidRDefault="001E0AF8" w:rsidP="001444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F8" w:rsidRDefault="001E0AF8" w:rsidP="001444FB">
      <w:pPr>
        <w:spacing w:before="0"/>
      </w:pPr>
      <w:r>
        <w:separator/>
      </w:r>
    </w:p>
  </w:footnote>
  <w:footnote w:type="continuationSeparator" w:id="0">
    <w:p w:rsidR="001E0AF8" w:rsidRDefault="001E0AF8" w:rsidP="001444F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7C1"/>
    <w:multiLevelType w:val="hybridMultilevel"/>
    <w:tmpl w:val="8A7C5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F2"/>
    <w:multiLevelType w:val="hybridMultilevel"/>
    <w:tmpl w:val="37EE0BB6"/>
    <w:lvl w:ilvl="0" w:tplc="10CA92F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E4EBB"/>
    <w:multiLevelType w:val="hybridMultilevel"/>
    <w:tmpl w:val="DBDE5E08"/>
    <w:lvl w:ilvl="0" w:tplc="989E9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0DA2"/>
    <w:multiLevelType w:val="hybridMultilevel"/>
    <w:tmpl w:val="2C148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1963"/>
    <w:multiLevelType w:val="hybridMultilevel"/>
    <w:tmpl w:val="F30A5128"/>
    <w:lvl w:ilvl="0" w:tplc="04DA7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E2592"/>
    <w:multiLevelType w:val="hybridMultilevel"/>
    <w:tmpl w:val="023E7C3E"/>
    <w:lvl w:ilvl="0" w:tplc="B26AFD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7137"/>
    <w:multiLevelType w:val="hybridMultilevel"/>
    <w:tmpl w:val="F75C1540"/>
    <w:lvl w:ilvl="0" w:tplc="07F0CC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A025A"/>
    <w:multiLevelType w:val="hybridMultilevel"/>
    <w:tmpl w:val="C4E065E2"/>
    <w:lvl w:ilvl="0" w:tplc="F59635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8200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362EA"/>
    <w:multiLevelType w:val="hybridMultilevel"/>
    <w:tmpl w:val="DB88B136"/>
    <w:lvl w:ilvl="0" w:tplc="E9BC8536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7B230B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B43D61"/>
    <w:multiLevelType w:val="hybridMultilevel"/>
    <w:tmpl w:val="91CCA62A"/>
    <w:lvl w:ilvl="0" w:tplc="32403E6E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7B230B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562F"/>
    <w:multiLevelType w:val="hybridMultilevel"/>
    <w:tmpl w:val="82021444"/>
    <w:lvl w:ilvl="0" w:tplc="F596353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78200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44B07"/>
    <w:multiLevelType w:val="hybridMultilevel"/>
    <w:tmpl w:val="6E3211A2"/>
    <w:lvl w:ilvl="0" w:tplc="DF72B9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EF9769" w:themeColor="accen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F557F"/>
    <w:multiLevelType w:val="hybridMultilevel"/>
    <w:tmpl w:val="495E004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8D3026B"/>
    <w:multiLevelType w:val="multilevel"/>
    <w:tmpl w:val="E3FA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14731E"/>
    <w:multiLevelType w:val="hybridMultilevel"/>
    <w:tmpl w:val="043CE820"/>
    <w:lvl w:ilvl="0" w:tplc="CD68C1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D5D78"/>
    <w:multiLevelType w:val="hybridMultilevel"/>
    <w:tmpl w:val="E2AA53CC"/>
    <w:lvl w:ilvl="0" w:tplc="79DC7FCA">
      <w:start w:val="26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1"/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9B"/>
    <w:rsid w:val="000060E7"/>
    <w:rsid w:val="000274CD"/>
    <w:rsid w:val="000608E4"/>
    <w:rsid w:val="0009789B"/>
    <w:rsid w:val="000A69D8"/>
    <w:rsid w:val="000B2B81"/>
    <w:rsid w:val="000F5D50"/>
    <w:rsid w:val="0010062D"/>
    <w:rsid w:val="00116F37"/>
    <w:rsid w:val="00116FAD"/>
    <w:rsid w:val="001444FB"/>
    <w:rsid w:val="0014727A"/>
    <w:rsid w:val="001653C5"/>
    <w:rsid w:val="00176BD3"/>
    <w:rsid w:val="00177A64"/>
    <w:rsid w:val="001A4EF4"/>
    <w:rsid w:val="001E0AF8"/>
    <w:rsid w:val="001E301D"/>
    <w:rsid w:val="001F5195"/>
    <w:rsid w:val="00240B9D"/>
    <w:rsid w:val="002448C2"/>
    <w:rsid w:val="00254336"/>
    <w:rsid w:val="0026543F"/>
    <w:rsid w:val="00296130"/>
    <w:rsid w:val="002B102F"/>
    <w:rsid w:val="002B1880"/>
    <w:rsid w:val="002D431A"/>
    <w:rsid w:val="00303784"/>
    <w:rsid w:val="00312A26"/>
    <w:rsid w:val="00375B0E"/>
    <w:rsid w:val="00376C9B"/>
    <w:rsid w:val="00395E85"/>
    <w:rsid w:val="003A28CB"/>
    <w:rsid w:val="003B1193"/>
    <w:rsid w:val="003C251C"/>
    <w:rsid w:val="003C37C2"/>
    <w:rsid w:val="003C496B"/>
    <w:rsid w:val="003D2AB9"/>
    <w:rsid w:val="003F256A"/>
    <w:rsid w:val="004109B4"/>
    <w:rsid w:val="0045134F"/>
    <w:rsid w:val="00455EA3"/>
    <w:rsid w:val="00472780"/>
    <w:rsid w:val="004834FF"/>
    <w:rsid w:val="004A493D"/>
    <w:rsid w:val="004A4C5B"/>
    <w:rsid w:val="004A6D25"/>
    <w:rsid w:val="004D4A07"/>
    <w:rsid w:val="004D651F"/>
    <w:rsid w:val="004E075B"/>
    <w:rsid w:val="004E26BB"/>
    <w:rsid w:val="00505C39"/>
    <w:rsid w:val="00515698"/>
    <w:rsid w:val="005328A4"/>
    <w:rsid w:val="005645B1"/>
    <w:rsid w:val="005815C2"/>
    <w:rsid w:val="0059578E"/>
    <w:rsid w:val="005A0145"/>
    <w:rsid w:val="005B062E"/>
    <w:rsid w:val="005F42C4"/>
    <w:rsid w:val="00600655"/>
    <w:rsid w:val="00604CA2"/>
    <w:rsid w:val="0060659C"/>
    <w:rsid w:val="00607FEE"/>
    <w:rsid w:val="00644FD9"/>
    <w:rsid w:val="006566CB"/>
    <w:rsid w:val="00657641"/>
    <w:rsid w:val="006A7322"/>
    <w:rsid w:val="006C7ED5"/>
    <w:rsid w:val="00701A14"/>
    <w:rsid w:val="00712390"/>
    <w:rsid w:val="00721920"/>
    <w:rsid w:val="00747C2A"/>
    <w:rsid w:val="007665AA"/>
    <w:rsid w:val="00772C89"/>
    <w:rsid w:val="00792183"/>
    <w:rsid w:val="007A1DED"/>
    <w:rsid w:val="007B2F17"/>
    <w:rsid w:val="007D0E7E"/>
    <w:rsid w:val="007D277A"/>
    <w:rsid w:val="00840DE1"/>
    <w:rsid w:val="008C5B10"/>
    <w:rsid w:val="009226AF"/>
    <w:rsid w:val="009338C5"/>
    <w:rsid w:val="00942BD1"/>
    <w:rsid w:val="00976D4D"/>
    <w:rsid w:val="0098000B"/>
    <w:rsid w:val="00997BFE"/>
    <w:rsid w:val="009B4943"/>
    <w:rsid w:val="00A24020"/>
    <w:rsid w:val="00A349CC"/>
    <w:rsid w:val="00A615CF"/>
    <w:rsid w:val="00AA40DC"/>
    <w:rsid w:val="00AB571E"/>
    <w:rsid w:val="00AC79C5"/>
    <w:rsid w:val="00B662E6"/>
    <w:rsid w:val="00BA26F0"/>
    <w:rsid w:val="00BA2BEB"/>
    <w:rsid w:val="00BB587C"/>
    <w:rsid w:val="00BC3426"/>
    <w:rsid w:val="00BE1DE8"/>
    <w:rsid w:val="00BF2361"/>
    <w:rsid w:val="00C24C46"/>
    <w:rsid w:val="00C74AF2"/>
    <w:rsid w:val="00CD38D1"/>
    <w:rsid w:val="00D22A9F"/>
    <w:rsid w:val="00D4224E"/>
    <w:rsid w:val="00D550CB"/>
    <w:rsid w:val="00D61B60"/>
    <w:rsid w:val="00DA52B1"/>
    <w:rsid w:val="00DE58A8"/>
    <w:rsid w:val="00E51783"/>
    <w:rsid w:val="00E51EC6"/>
    <w:rsid w:val="00E64E12"/>
    <w:rsid w:val="00E82715"/>
    <w:rsid w:val="00E86DFC"/>
    <w:rsid w:val="00F4510A"/>
    <w:rsid w:val="00FA0D09"/>
    <w:rsid w:val="00FE1C77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FA9D"/>
  <w15:chartTrackingRefBased/>
  <w15:docId w15:val="{84416720-44AF-4B09-A4B2-49615BD3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cs-CZ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7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44F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511707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25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2"/>
    <w:rPr>
      <w:b/>
      <w:bCs/>
      <w:sz w:val="42"/>
      <w:szCs w:val="42"/>
    </w:rPr>
  </w:style>
  <w:style w:type="paragraph" w:customStyle="1" w:styleId="Adresa">
    <w:name w:val="Adresa"/>
    <w:basedOn w:val="Normln"/>
    <w:qFormat/>
    <w:pPr>
      <w:contextualSpacing/>
    </w:pPr>
  </w:style>
  <w:style w:type="paragraph" w:styleId="Bezmezer">
    <w:name w:val="No Spacing"/>
    <w:uiPriority w:val="99"/>
    <w:qFormat/>
    <w:pPr>
      <w:spacing w:before="0"/>
    </w:pPr>
    <w:rPr>
      <w:color w:val="000000" w:themeColor="text1"/>
    </w:rPr>
  </w:style>
  <w:style w:type="paragraph" w:styleId="Normlnweb">
    <w:name w:val="Normal (Web)"/>
    <w:basedOn w:val="Normln"/>
    <w:uiPriority w:val="99"/>
    <w:unhideWhenUsed/>
    <w:rsid w:val="000060E7"/>
    <w:pPr>
      <w:spacing w:before="40" w:after="160" w:line="288" w:lineRule="auto"/>
    </w:pPr>
    <w:rPr>
      <w:rFonts w:ascii="Times New Roman" w:eastAsiaTheme="minorHAnsi" w:hAnsi="Times New Roman" w:cs="Times New Roman"/>
      <w:color w:val="595959" w:themeColor="text1" w:themeTint="A6"/>
      <w:kern w:val="20"/>
      <w:sz w:val="24"/>
      <w:szCs w:val="20"/>
    </w:rPr>
  </w:style>
  <w:style w:type="paragraph" w:styleId="Odstavecseseznamem">
    <w:name w:val="List Paragraph"/>
    <w:basedOn w:val="Normln"/>
    <w:uiPriority w:val="34"/>
    <w:unhideWhenUsed/>
    <w:qFormat/>
    <w:rsid w:val="004A493D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4A493D"/>
    <w:pPr>
      <w:spacing w:before="0" w:after="120" w:line="264" w:lineRule="auto"/>
    </w:pPr>
    <w:rPr>
      <w:rFonts w:ascii="Tw Cen MT" w:eastAsia="Times New Roman" w:hAnsi="Tw Cen MT" w:cs="Times New Roman"/>
      <w:color w:val="auto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A493D"/>
    <w:rPr>
      <w:rFonts w:ascii="Tw Cen MT" w:eastAsia="Times New Roman" w:hAnsi="Tw Cen MT" w:cs="Times New Roman"/>
      <w:color w:val="auto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A493D"/>
    <w:pPr>
      <w:spacing w:before="0"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493D"/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ED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ED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44F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444FB"/>
  </w:style>
  <w:style w:type="paragraph" w:styleId="Zpat">
    <w:name w:val="footer"/>
    <w:basedOn w:val="Normln"/>
    <w:link w:val="ZpatChar"/>
    <w:uiPriority w:val="99"/>
    <w:unhideWhenUsed/>
    <w:rsid w:val="001444FB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444FB"/>
  </w:style>
  <w:style w:type="character" w:customStyle="1" w:styleId="Nadpis6Char">
    <w:name w:val="Nadpis 6 Char"/>
    <w:basedOn w:val="Standardnpsmoodstavce"/>
    <w:link w:val="Nadpis6"/>
    <w:uiPriority w:val="9"/>
    <w:semiHidden/>
    <w:rsid w:val="001444FB"/>
    <w:rPr>
      <w:rFonts w:asciiTheme="majorHAnsi" w:eastAsiaTheme="majorEastAsia" w:hAnsiTheme="majorHAnsi" w:cstheme="majorBidi"/>
      <w:color w:val="511707" w:themeColor="accent1" w:themeShade="7F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444FB"/>
    <w:pPr>
      <w:spacing w:before="0" w:after="120" w:line="480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444FB"/>
    <w:rPr>
      <w:rFonts w:ascii="Calibri" w:eastAsia="Calibri" w:hAnsi="Calibri" w:cs="Times New Roman"/>
      <w:color w:val="auto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44FD9"/>
    <w:rPr>
      <w:color w:val="6B9F25" w:themeColor="hyperlink"/>
      <w:u w:val="single"/>
    </w:rPr>
  </w:style>
  <w:style w:type="table" w:styleId="Tmavtabulkaseznamu5zvraznn4">
    <w:name w:val="List Table 5 Dark Accent 4"/>
    <w:basedOn w:val="Normlntabulka"/>
    <w:uiPriority w:val="50"/>
    <w:rsid w:val="00E82715"/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82715"/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82715"/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mkou3zvraznn4">
    <w:name w:val="Grid Table 3 Accent 4"/>
    <w:basedOn w:val="Normlntabulka"/>
    <w:uiPriority w:val="48"/>
    <w:rsid w:val="00E82715"/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ulkaseznamu4zvraznn4">
    <w:name w:val="List Table 4 Accent 4"/>
    <w:basedOn w:val="Normlntabulka"/>
    <w:uiPriority w:val="49"/>
    <w:rsid w:val="00E82715"/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Barevntabulkaseznamu7zvraznn4">
    <w:name w:val="List Table 7 Colorful Accent 4"/>
    <w:basedOn w:val="Normlntabulka"/>
    <w:uiPriority w:val="52"/>
    <w:rsid w:val="00312A26"/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5">
    <w:name w:val="Plain Table 5"/>
    <w:basedOn w:val="Normlntabulka"/>
    <w:uiPriority w:val="45"/>
    <w:rsid w:val="00312A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uiPriority w:val="11"/>
    <w:qFormat/>
    <w:rsid w:val="007A1DED"/>
    <w:pPr>
      <w:numPr>
        <w:ilvl w:val="1"/>
      </w:numPr>
      <w:spacing w:before="0" w:after="160" w:line="259" w:lineRule="auto"/>
    </w:pPr>
    <w:rPr>
      <w:rFonts w:cs="Times New Roman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A1DED"/>
    <w:rPr>
      <w:rFonts w:cs="Times New Roman"/>
      <w:color w:val="5A5A5A" w:themeColor="text1" w:themeTint="A5"/>
      <w:spacing w:val="15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7641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D61B60"/>
    <w:rPr>
      <w:color w:val="605E5C"/>
      <w:shd w:val="clear" w:color="auto" w:fill="E1DFDD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251C"/>
    <w:rPr>
      <w:rFonts w:asciiTheme="majorHAnsi" w:eastAsiaTheme="majorEastAsia" w:hAnsiTheme="majorHAnsi" w:cstheme="majorBidi"/>
      <w:i/>
      <w:iCs/>
      <w:color w:val="511707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&#352;ablony\Jednoduch&#253;%20let&#225;k%20s%20barevn&#253;mi%20bloky.dotx" TargetMode="External"/></Relationships>
</file>

<file path=word/theme/theme1.xml><?xml version="1.0" encoding="utf-8"?>
<a:theme xmlns:a="http://schemas.openxmlformats.org/drawingml/2006/main" name="Office Theme">
  <a:themeElements>
    <a:clrScheme name="Červená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25. – 26. DUBNA 2019, hotel Atom, Třebíč</Abstract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926AF-9E70-4021-9555-F5195814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Jednoduchý leták s barevnými bloky</Template>
  <TotalTime>5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RADIOLOGICKÉ METODY V HYDROSFÉŘE 19</vt:lpstr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RADIOLOGICKÉ METODY V HYDROSFÉŘE 19</dc:title>
  <dc:subject>PROGRAMOVÝ A ORGANIZAČNÍ VÝBOR KONFERENCE</dc:subject>
  <dc:creator>Pavla Hanušová</dc:creator>
  <cp:keywords/>
  <dc:description/>
  <cp:lastModifiedBy>Pavla Hanušová</cp:lastModifiedBy>
  <cp:revision>3</cp:revision>
  <cp:lastPrinted>2019-03-12T13:19:00Z</cp:lastPrinted>
  <dcterms:created xsi:type="dcterms:W3CDTF">2019-04-23T05:15:00Z</dcterms:created>
  <dcterms:modified xsi:type="dcterms:W3CDTF">2019-04-23T05:19:00Z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